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84" w:rsidRDefault="00404884" w:rsidP="00333F3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3"/>
          <w:szCs w:val="23"/>
          <w:lang w:eastAsia="zh-CN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2567940</wp:posOffset>
            </wp:positionH>
            <wp:positionV relativeFrom="paragraph">
              <wp:posOffset>-304165</wp:posOffset>
            </wp:positionV>
            <wp:extent cx="557530" cy="515620"/>
            <wp:effectExtent l="0" t="0" r="0" b="0"/>
            <wp:wrapNone/>
            <wp:docPr id="1" name="Рисунок 1" descr="C:\My Documents\BVI new\pectens\BVI0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Documents\BVI new\pectens\BVI02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1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F34" w:rsidRPr="00626B0D" w:rsidRDefault="00333F34" w:rsidP="00333F3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26B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Роял</w:t>
      </w:r>
      <w:proofErr w:type="spellEnd"/>
      <w:r w:rsidRPr="00626B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proofErr w:type="spellStart"/>
      <w:r w:rsidRPr="00626B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Датч</w:t>
      </w:r>
      <w:proofErr w:type="spellEnd"/>
      <w:r w:rsidRPr="00626B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Шелл </w:t>
      </w:r>
      <w:proofErr w:type="spellStart"/>
      <w:r w:rsidRPr="00626B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плс</w:t>
      </w:r>
      <w:proofErr w:type="spellEnd"/>
      <w:r w:rsidRPr="00626B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Pr="00626B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международный концерн, объединяющий энергетические и нефтехимические компании, штаб-квартира которого расположена в Гааге, Нидерланды. В настоящее время, «Шелл» является одним из крупнейших иностранных инвесторов в экономику Казахстана. Концерн «Шелл» принимает участие в четырех проектах. Это - Соглашение о разделе продукции по Северному Каспию (доля участия 16,81%), Соглашение о разделе продукции «Жемчужины» в Казахстанском секторе Каспийского моря (доля участия 55%), Окончательное соглашение о разделе продукции по </w:t>
      </w:r>
      <w:proofErr w:type="spellStart"/>
      <w:r w:rsidRPr="00626B0D">
        <w:rPr>
          <w:rFonts w:ascii="Times New Roman" w:eastAsia="Times New Roman" w:hAnsi="Times New Roman" w:cs="Times New Roman"/>
          <w:sz w:val="23"/>
          <w:szCs w:val="23"/>
          <w:lang w:eastAsia="ru-RU"/>
        </w:rPr>
        <w:t>Карачаганакскому</w:t>
      </w:r>
      <w:proofErr w:type="spellEnd"/>
      <w:r w:rsidRPr="00626B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месторождению (доля участия 29,25%), и Каспийский Трубопроводный Консорциум (доля участия 7.4%).  </w:t>
      </w:r>
    </w:p>
    <w:p w:rsidR="00333F34" w:rsidRDefault="00333F34" w:rsidP="00333F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2129"/>
          <w:sz w:val="24"/>
          <w:szCs w:val="24"/>
          <w:lang w:eastAsia="ru-RU"/>
        </w:rPr>
      </w:pPr>
    </w:p>
    <w:p w:rsidR="00333F34" w:rsidRPr="003B4008" w:rsidRDefault="00333F34" w:rsidP="00333F3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79A6" w:rsidRPr="00F56CD0" w:rsidRDefault="006E79A6" w:rsidP="00F56CD0">
      <w:bookmarkStart w:id="0" w:name="_GoBack"/>
      <w:bookmarkEnd w:id="0"/>
    </w:p>
    <w:sectPr w:rsidR="006E79A6" w:rsidRPr="00F56CD0" w:rsidSect="00F56CD0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75B22"/>
    <w:multiLevelType w:val="hybridMultilevel"/>
    <w:tmpl w:val="1EA2728A"/>
    <w:lvl w:ilvl="0" w:tplc="48A07BF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49"/>
    <w:rsid w:val="00017678"/>
    <w:rsid w:val="00333F34"/>
    <w:rsid w:val="00404884"/>
    <w:rsid w:val="00626B0D"/>
    <w:rsid w:val="006D1C30"/>
    <w:rsid w:val="006E79A6"/>
    <w:rsid w:val="00744529"/>
    <w:rsid w:val="00D44849"/>
    <w:rsid w:val="00F5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9A297-2841-45A6-89B1-8D4E9173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849"/>
    <w:pPr>
      <w:ind w:left="720"/>
      <w:contextualSpacing/>
    </w:pPr>
  </w:style>
  <w:style w:type="table" w:styleId="a4">
    <w:name w:val="Table Grid"/>
    <w:basedOn w:val="a1"/>
    <w:uiPriority w:val="39"/>
    <w:rsid w:val="00D44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44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KAZENERGY_PC08</dc:creator>
  <cp:keywords/>
  <dc:description/>
  <cp:lastModifiedBy>КЕ60</cp:lastModifiedBy>
  <cp:revision>4</cp:revision>
  <dcterms:created xsi:type="dcterms:W3CDTF">2017-11-22T09:48:00Z</dcterms:created>
  <dcterms:modified xsi:type="dcterms:W3CDTF">2017-11-23T10:33:00Z</dcterms:modified>
</cp:coreProperties>
</file>